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BA7777">
        <w:rPr>
          <w:rFonts w:ascii="Arial" w:hAnsi="Arial" w:cs="Arial"/>
          <w:b/>
          <w:sz w:val="22"/>
          <w:szCs w:val="22"/>
        </w:rPr>
        <w:t>ТАРКАЗИНСКИЙ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00BA7777">
        <w:rPr>
          <w:rFonts w:ascii="Arial" w:hAnsi="Arial" w:cs="Arial"/>
          <w:bCs/>
          <w:color w:val="000000"/>
          <w:sz w:val="22"/>
          <w:szCs w:val="22"/>
          <w:shd w:val="clear" w:color="auto" w:fill="FFFFFF"/>
        </w:rPr>
        <w:t>Тарказинский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51418B" w:rsidRPr="00B96DFA" w:rsidRDefault="0051418B" w:rsidP="0051418B">
      <w:pPr>
        <w:autoSpaceDE w:val="0"/>
        <w:autoSpaceDN w:val="0"/>
        <w:adjustRightInd w:val="0"/>
        <w:spacing w:after="0" w:line="240" w:lineRule="auto"/>
        <w:ind w:firstLine="539"/>
        <w:contextualSpacing/>
        <w:jc w:val="both"/>
        <w:rPr>
          <w:rFonts w:ascii="Arial" w:hAnsi="Arial" w:cs="Arial"/>
          <w:lang w:eastAsia="ru-RU"/>
        </w:rPr>
      </w:pPr>
      <w:r w:rsidRPr="00A365BE">
        <w:rPr>
          <w:rFonts w:ascii="Arial" w:hAnsi="Arial" w:cs="Arial"/>
        </w:rPr>
        <w:t>зона «</w:t>
      </w:r>
      <w:r w:rsidRPr="00A365BE">
        <w:rPr>
          <w:rFonts w:ascii="Arial" w:hAnsi="Arial" w:cs="Arial"/>
          <w:b/>
        </w:rPr>
        <w:t>ЖБ»</w:t>
      </w:r>
      <w:r w:rsidRPr="00A365BE">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w:t>
      </w:r>
      <w:r w:rsidRPr="0067766B">
        <w:rPr>
          <w:rFonts w:ascii="Arial" w:hAnsi="Arial" w:cs="Arial"/>
          <w:sz w:val="22"/>
          <w:szCs w:val="22"/>
        </w:rPr>
        <w:lastRenderedPageBreak/>
        <w:t>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w:t>
      </w:r>
      <w:proofErr w:type="gramEnd"/>
      <w:r w:rsidRPr="00A365BE">
        <w:rPr>
          <w:rFonts w:ascii="Arial" w:hAnsi="Arial" w:cs="Arial"/>
          <w:sz w:val="22"/>
          <w:szCs w:val="22"/>
        </w:rPr>
        <w:t xml:space="preserve">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 xml:space="preserve">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w:t>
      </w:r>
      <w:r w:rsidRPr="00A365BE">
        <w:rPr>
          <w:rFonts w:ascii="Arial" w:hAnsi="Arial" w:cs="Arial"/>
          <w:sz w:val="22"/>
          <w:szCs w:val="22"/>
        </w:rPr>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w:t>
      </w:r>
      <w:r w:rsidRPr="00A365BE">
        <w:rPr>
          <w:rFonts w:ascii="Arial" w:hAnsi="Arial" w:cs="Arial"/>
        </w:rPr>
        <w:lastRenderedPageBreak/>
        <w:t>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w:t>
      </w:r>
      <w:r w:rsidRPr="00A365BE">
        <w:rPr>
          <w:rFonts w:ascii="Arial" w:hAnsi="Arial" w:cs="Arial"/>
        </w:rPr>
        <w:lastRenderedPageBreak/>
        <w:t xml:space="preserve">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w:t>
      </w:r>
      <w:r w:rsidRPr="00A365BE">
        <w:rPr>
          <w:rFonts w:ascii="Arial" w:hAnsi="Arial" w:cs="Arial"/>
        </w:rPr>
        <w:lastRenderedPageBreak/>
        <w:t>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F10E7" w:rsidRPr="003F10E7" w:rsidRDefault="003F10E7" w:rsidP="003F10E7">
      <w:pPr>
        <w:spacing w:after="0" w:line="240" w:lineRule="auto"/>
        <w:ind w:firstLine="567"/>
        <w:contextualSpacing/>
        <w:jc w:val="both"/>
        <w:rPr>
          <w:rFonts w:ascii="Arial" w:hAnsi="Arial" w:cs="Arial"/>
        </w:rPr>
      </w:pPr>
      <w:r w:rsidRPr="003F10E7">
        <w:rPr>
          <w:rFonts w:ascii="Arial" w:hAnsi="Arial" w:cs="Arial"/>
        </w:rPr>
        <w:t xml:space="preserve">зона </w:t>
      </w:r>
      <w:r w:rsidRPr="003F10E7">
        <w:rPr>
          <w:rFonts w:ascii="Arial" w:hAnsi="Arial" w:cs="Arial"/>
          <w:b/>
        </w:rPr>
        <w:t>«ТЖД»</w:t>
      </w:r>
      <w:r w:rsidRPr="003F10E7">
        <w:rPr>
          <w:rFonts w:ascii="Arial" w:hAnsi="Arial" w:cs="Arial"/>
        </w:rPr>
        <w:t xml:space="preserve"> - Железнодорожный транспорт. </w:t>
      </w:r>
      <w:proofErr w:type="gramStart"/>
      <w:r w:rsidRPr="003F10E7">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3F10E7">
        <w:rPr>
          <w:rFonts w:ascii="Arial" w:hAnsi="Arial" w:cs="Arial"/>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3F10E7" w:rsidRPr="00A365BE" w:rsidRDefault="003F10E7"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w:t>
      </w:r>
      <w:r w:rsidRPr="00A365BE">
        <w:rPr>
          <w:rFonts w:ascii="Arial" w:hAnsi="Arial" w:cs="Arial"/>
        </w:rPr>
        <w:lastRenderedPageBreak/>
        <w:t>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BA7777">
        <w:rPr>
          <w:rFonts w:ascii="Arial" w:hAnsi="Arial" w:cs="Arial"/>
          <w:sz w:val="22"/>
          <w:szCs w:val="22"/>
        </w:rPr>
        <w:t>Тарказинский</w:t>
      </w:r>
      <w:proofErr w:type="spellEnd"/>
      <w:r w:rsidRPr="00A365BE">
        <w:rPr>
          <w:rFonts w:ascii="Arial" w:hAnsi="Arial" w:cs="Arial"/>
          <w:sz w:val="22"/>
          <w:szCs w:val="22"/>
        </w:rPr>
        <w:t xml:space="preserve"> </w:t>
      </w:r>
      <w:r w:rsidRPr="00A365BE">
        <w:rPr>
          <w:rFonts w:ascii="Arial" w:hAnsi="Arial" w:cs="Arial"/>
          <w:sz w:val="22"/>
          <w:szCs w:val="22"/>
        </w:rPr>
        <w:lastRenderedPageBreak/>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proofErr w:type="spellStart"/>
      <w:r w:rsidR="00BA7777">
        <w:rPr>
          <w:rFonts w:ascii="Arial" w:hAnsi="Arial" w:cs="Arial"/>
          <w:sz w:val="22"/>
          <w:szCs w:val="22"/>
        </w:rPr>
        <w:t>Тарказинский</w:t>
      </w:r>
      <w:proofErr w:type="spellEnd"/>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w:t>
      </w:r>
      <w:r w:rsidRPr="00A365BE">
        <w:rPr>
          <w:rFonts w:ascii="Arial" w:hAnsi="Arial" w:cs="Arial"/>
        </w:rPr>
        <w:lastRenderedPageBreak/>
        <w:t>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proofErr w:type="spellStart"/>
      <w:r w:rsidR="00BA7777">
        <w:rPr>
          <w:rFonts w:ascii="Arial" w:hAnsi="Arial" w:cs="Arial"/>
          <w:b/>
          <w:sz w:val="22"/>
          <w:szCs w:val="22"/>
        </w:rPr>
        <w:t>Тарказинский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proofErr w:type="spellStart"/>
      <w:r w:rsidR="00BA7777">
        <w:rPr>
          <w:rFonts w:ascii="Arial" w:hAnsi="Arial" w:cs="Arial"/>
          <w:b/>
          <w:sz w:val="22"/>
          <w:szCs w:val="22"/>
        </w:rPr>
        <w:t>Тарказинский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proofErr w:type="spellStart"/>
      <w:r w:rsidR="00BA7777">
        <w:rPr>
          <w:rFonts w:ascii="Arial" w:hAnsi="Arial" w:cs="Arial"/>
          <w:bCs/>
          <w:color w:val="000000"/>
          <w:shd w:val="clear" w:color="auto" w:fill="FFFFFF"/>
        </w:rPr>
        <w:t>Тарказинский</w:t>
      </w:r>
      <w:proofErr w:type="spellEnd"/>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proofErr w:type="spellStart"/>
      <w:r w:rsidR="00BA7777">
        <w:rPr>
          <w:rFonts w:ascii="Arial" w:hAnsi="Arial" w:cs="Arial"/>
          <w:b/>
          <w:sz w:val="22"/>
          <w:szCs w:val="22"/>
        </w:rPr>
        <w:t>Тарказинский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w:t>
      </w:r>
      <w:r w:rsidR="005510EA">
        <w:rPr>
          <w:rFonts w:ascii="Arial" w:hAnsi="Arial" w:cs="Arial"/>
          <w:b/>
          <w:sz w:val="22"/>
          <w:szCs w:val="22"/>
        </w:rPr>
        <w:t>1</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proofErr w:type="spellStart"/>
      <w:r w:rsidR="00BA7777">
        <w:rPr>
          <w:rFonts w:ascii="Arial" w:hAnsi="Arial" w:cs="Arial"/>
          <w:b/>
          <w:sz w:val="22"/>
          <w:szCs w:val="22"/>
        </w:rPr>
        <w:t>Тарказинский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00BA7777">
        <w:rPr>
          <w:rFonts w:ascii="Arial" w:hAnsi="Arial" w:cs="Arial"/>
          <w:bCs/>
          <w:color w:val="000000"/>
          <w:sz w:val="22"/>
          <w:szCs w:val="22"/>
          <w:shd w:val="clear" w:color="auto" w:fill="FFFFFF"/>
        </w:rPr>
        <w:t>Тарказинский</w:t>
      </w:r>
      <w:proofErr w:type="spellEnd"/>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5510EA">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proofErr w:type="spellStart"/>
      <w:r w:rsidR="00BA7777">
        <w:rPr>
          <w:rFonts w:ascii="Arial" w:hAnsi="Arial" w:cs="Arial"/>
          <w:b/>
        </w:rPr>
        <w:t>Тарказинский</w:t>
      </w:r>
      <w:proofErr w:type="spellEnd"/>
      <w:r w:rsidR="008A4BC1">
        <w:rPr>
          <w:rFonts w:ascii="Arial" w:hAnsi="Arial" w:cs="Arial"/>
          <w:b/>
        </w:rPr>
        <w:t xml:space="preserve"> сельсовет</w:t>
      </w:r>
      <w:r w:rsidRPr="00A365BE">
        <w:rPr>
          <w:rFonts w:ascii="Arial" w:hAnsi="Arial" w:cs="Arial"/>
          <w:b/>
        </w:rPr>
        <w:t xml:space="preserve"> муниципального района </w:t>
      </w:r>
      <w:r w:rsidR="005510EA">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proofErr w:type="spellStart"/>
      <w:r w:rsidR="00BA7777">
        <w:rPr>
          <w:rFonts w:ascii="Arial" w:hAnsi="Arial" w:cs="Arial"/>
          <w:bCs/>
          <w:color w:val="000000"/>
          <w:sz w:val="22"/>
          <w:szCs w:val="22"/>
          <w:shd w:val="clear" w:color="auto" w:fill="FFFFFF"/>
        </w:rPr>
        <w:t>Тарказинский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00BA7777">
        <w:rPr>
          <w:rFonts w:ascii="Arial" w:hAnsi="Arial" w:cs="Arial"/>
          <w:bCs/>
          <w:color w:val="000000"/>
          <w:sz w:val="22"/>
          <w:szCs w:val="22"/>
          <w:shd w:val="clear" w:color="auto" w:fill="FFFFFF"/>
        </w:rPr>
        <w:t>Тарказинский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lastRenderedPageBreak/>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sidR="00BA7777">
        <w:rPr>
          <w:rFonts w:ascii="Arial" w:hAnsi="Arial" w:cs="Arial"/>
          <w:bCs/>
          <w:color w:val="000000"/>
          <w:sz w:val="22"/>
          <w:szCs w:val="22"/>
          <w:shd w:val="clear" w:color="auto" w:fill="FFFFFF"/>
        </w:rPr>
        <w:t>Тарказинский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proofErr w:type="spellStart"/>
      <w:r w:rsidR="00BA7777">
        <w:rPr>
          <w:rFonts w:cs="Arial"/>
          <w:b/>
          <w:sz w:val="22"/>
          <w:szCs w:val="22"/>
        </w:rPr>
        <w:t>Тарказинский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proofErr w:type="spellStart"/>
      <w:r w:rsidR="00BA7777">
        <w:rPr>
          <w:rFonts w:cs="Arial"/>
          <w:b/>
          <w:sz w:val="22"/>
          <w:szCs w:val="22"/>
        </w:rPr>
        <w:t>Тарказинский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proofErr w:type="spellStart"/>
      <w:r w:rsidR="00BA7777">
        <w:rPr>
          <w:rFonts w:cs="Arial"/>
          <w:sz w:val="22"/>
          <w:szCs w:val="22"/>
        </w:rPr>
        <w:t>Тарказинский</w:t>
      </w:r>
      <w:proofErr w:type="spellEnd"/>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proofErr w:type="spellStart"/>
      <w:r w:rsidR="00BA7777">
        <w:rPr>
          <w:rFonts w:cs="Arial"/>
          <w:b/>
          <w:sz w:val="22"/>
          <w:szCs w:val="22"/>
        </w:rPr>
        <w:t>Тарказинский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637C47" w:rsidTr="00637C47">
        <w:tc>
          <w:tcPr>
            <w:tcW w:w="675"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lastRenderedPageBreak/>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637C47" w:rsidTr="00637C47">
        <w:trPr>
          <w:trHeight w:val="576"/>
        </w:trPr>
        <w:tc>
          <w:tcPr>
            <w:tcW w:w="675" w:type="dxa"/>
          </w:tcPr>
          <w:p w:rsidR="00637C47" w:rsidRDefault="00637C47" w:rsidP="00925E7A"/>
        </w:tc>
        <w:tc>
          <w:tcPr>
            <w:tcW w:w="2977" w:type="dxa"/>
          </w:tcPr>
          <w:p w:rsidR="00637C47" w:rsidRDefault="00637C47" w:rsidP="00925E7A"/>
        </w:tc>
        <w:tc>
          <w:tcPr>
            <w:tcW w:w="2270" w:type="dxa"/>
          </w:tcPr>
          <w:p w:rsidR="00637C47" w:rsidRDefault="00637C47" w:rsidP="00925E7A"/>
        </w:tc>
        <w:tc>
          <w:tcPr>
            <w:tcW w:w="1966" w:type="dxa"/>
          </w:tcPr>
          <w:p w:rsidR="00637C47" w:rsidRDefault="00637C47" w:rsidP="00925E7A"/>
        </w:tc>
        <w:tc>
          <w:tcPr>
            <w:tcW w:w="1966" w:type="dxa"/>
          </w:tcPr>
          <w:p w:rsidR="00637C47" w:rsidRDefault="00637C47" w:rsidP="00925E7A"/>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4D" w:rsidRDefault="00C2194D" w:rsidP="00B43197">
      <w:pPr>
        <w:spacing w:after="0" w:line="240" w:lineRule="auto"/>
      </w:pPr>
      <w:r>
        <w:separator/>
      </w:r>
    </w:p>
  </w:endnote>
  <w:endnote w:type="continuationSeparator" w:id="0">
    <w:p w:rsidR="00C2194D" w:rsidRDefault="00C2194D"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68767E">
        <w:pPr>
          <w:pStyle w:val="a7"/>
          <w:jc w:val="right"/>
        </w:pPr>
        <w:fldSimple w:instr=" PAGE   \* MERGEFORMAT ">
          <w:r w:rsidR="00BA7777">
            <w:rPr>
              <w:noProof/>
            </w:rPr>
            <w:t>115</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4D" w:rsidRDefault="00C2194D" w:rsidP="00B43197">
      <w:pPr>
        <w:spacing w:after="0" w:line="240" w:lineRule="auto"/>
      </w:pPr>
      <w:r>
        <w:separator/>
      </w:r>
    </w:p>
  </w:footnote>
  <w:footnote w:type="continuationSeparator" w:id="0">
    <w:p w:rsidR="00C2194D" w:rsidRDefault="00C2194D"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2C41"/>
    <w:rsid w:val="000A35B8"/>
    <w:rsid w:val="000C55C0"/>
    <w:rsid w:val="00107183"/>
    <w:rsid w:val="001B1936"/>
    <w:rsid w:val="00207416"/>
    <w:rsid w:val="002373BA"/>
    <w:rsid w:val="002520E7"/>
    <w:rsid w:val="00252CA1"/>
    <w:rsid w:val="002F60AC"/>
    <w:rsid w:val="003340A3"/>
    <w:rsid w:val="0034625E"/>
    <w:rsid w:val="003520F5"/>
    <w:rsid w:val="00362D38"/>
    <w:rsid w:val="003F10E7"/>
    <w:rsid w:val="003F7CE6"/>
    <w:rsid w:val="004F62B5"/>
    <w:rsid w:val="00502FCC"/>
    <w:rsid w:val="005053BA"/>
    <w:rsid w:val="0051418B"/>
    <w:rsid w:val="00547704"/>
    <w:rsid w:val="005510EA"/>
    <w:rsid w:val="00562094"/>
    <w:rsid w:val="00566F91"/>
    <w:rsid w:val="0057465F"/>
    <w:rsid w:val="005A12AE"/>
    <w:rsid w:val="005C20BC"/>
    <w:rsid w:val="005F6337"/>
    <w:rsid w:val="00602302"/>
    <w:rsid w:val="00637C47"/>
    <w:rsid w:val="006658D6"/>
    <w:rsid w:val="0067766B"/>
    <w:rsid w:val="0068767E"/>
    <w:rsid w:val="006B73F0"/>
    <w:rsid w:val="0071138D"/>
    <w:rsid w:val="00712C3F"/>
    <w:rsid w:val="00717504"/>
    <w:rsid w:val="0071752B"/>
    <w:rsid w:val="00726F80"/>
    <w:rsid w:val="0074537C"/>
    <w:rsid w:val="00745E30"/>
    <w:rsid w:val="0074781D"/>
    <w:rsid w:val="007864D3"/>
    <w:rsid w:val="007C110F"/>
    <w:rsid w:val="007E691B"/>
    <w:rsid w:val="008043E8"/>
    <w:rsid w:val="00832866"/>
    <w:rsid w:val="00836710"/>
    <w:rsid w:val="0089567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70D53"/>
    <w:rsid w:val="00B90D63"/>
    <w:rsid w:val="00B91461"/>
    <w:rsid w:val="00BA7777"/>
    <w:rsid w:val="00BD6577"/>
    <w:rsid w:val="00C12E73"/>
    <w:rsid w:val="00C2194D"/>
    <w:rsid w:val="00C36216"/>
    <w:rsid w:val="00D068D5"/>
    <w:rsid w:val="00D10D77"/>
    <w:rsid w:val="00D55498"/>
    <w:rsid w:val="00D66D4C"/>
    <w:rsid w:val="00D85F6B"/>
    <w:rsid w:val="00D91EC5"/>
    <w:rsid w:val="00DA57D0"/>
    <w:rsid w:val="00DB52B8"/>
    <w:rsid w:val="00DC7B7F"/>
    <w:rsid w:val="00DD2B4F"/>
    <w:rsid w:val="00E331C8"/>
    <w:rsid w:val="00EC7454"/>
    <w:rsid w:val="00EE786B"/>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1D1F0-F69F-4D1A-A899-C5FE60EB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12</Pages>
  <Words>6019</Words>
  <Characters>34313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2018-12-10T11:15:00Z</cp:lastPrinted>
  <dcterms:created xsi:type="dcterms:W3CDTF">2018-04-17T10:16:00Z</dcterms:created>
  <dcterms:modified xsi:type="dcterms:W3CDTF">2018-12-12T13:44:00Z</dcterms:modified>
</cp:coreProperties>
</file>